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Default"/>
        <w:jc w:val="center"/>
        <w:rPr>
          <w:rFonts w:ascii="Helvetica Light" w:cs="Helvetica Light" w:hAnsi="Helvetica Light" w:eastAsia="Helvetica Light"/>
        </w:rPr>
      </w:pPr>
      <w:r>
        <w:rPr>
          <w:rFonts w:ascii="DIN Alternate" w:hAnsi="DIN Alternate"/>
          <w:color w:val="008e00"/>
          <w:sz w:val="48"/>
          <w:szCs w:val="48"/>
          <w:u w:color="008e00"/>
          <w:rtl w:val="0"/>
          <w:lang w:val="en-US"/>
        </w:rPr>
        <w:t xml:space="preserve">The Kobiona Monitor </w:t>
      </w:r>
      <w:r>
        <w:rPr>
          <w:rFonts w:ascii="Arial Unicode MS" w:cs="Arial Unicode MS" w:hAnsi="Arial Unicode MS" w:eastAsia="Arial Unicode MS"/>
          <w:color w:val="008e00"/>
          <w:u w:color="008e00"/>
        </w:rPr>
        <w:br w:type="textWrapping"/>
      </w:r>
      <w:r>
        <w:rPr>
          <w:rtl w:val="0"/>
          <w:lang w:val="en-US"/>
        </w:rPr>
        <w:t xml:space="preserve">Volume 1 / Number 2 </w:t>
      </w:r>
      <w:r>
        <w:br w:type="textWrapping"/>
      </w:r>
      <w:r>
        <w:rPr>
          <w:rtl w:val="0"/>
          <w:lang w:val="en-US"/>
        </w:rPr>
        <w:t xml:space="preserve">January 4, 2019  </w:t>
      </w:r>
      <w:r>
        <w:rPr>
          <w:rFonts w:ascii="Arial Unicode MS" w:cs="Arial Unicode MS" w:hAnsi="Arial Unicode MS" w:eastAsia="Arial Unicode MS"/>
        </w:rPr>
        <w:br w:type="textWrapping"/>
      </w:r>
    </w:p>
    <w:p>
      <w:pPr>
        <w:pStyle w:val="Default"/>
        <w:spacing w:after="240" w:line="288" w:lineRule="auto"/>
        <w:jc w:val="center"/>
        <w:rPr>
          <w:color w:val="008e00"/>
          <w:u w:color="008e00"/>
          <w:shd w:val="clear" w:color="auto" w:fill="ffffff"/>
        </w:rPr>
      </w:pPr>
      <w:r>
        <w:rPr>
          <w:color w:val="008e00"/>
          <w:u w:color="008e00"/>
          <w:shd w:val="clear" w:color="auto" w:fill="ffffff"/>
          <w:rtl w:val="0"/>
          <w:lang w:val="en-US"/>
        </w:rPr>
        <w:t>Kobiona</w:t>
      </w:r>
      <w:r>
        <w:rPr>
          <w:color w:val="008e00"/>
          <w:u w:color="008e00"/>
          <w:shd w:val="clear" w:color="auto" w:fill="ffffff"/>
          <w:rtl w:val="0"/>
          <w:lang w:val="en-US"/>
        </w:rPr>
        <w:t>’</w:t>
      </w:r>
      <w:r>
        <w:rPr>
          <w:color w:val="008e00"/>
          <w:u w:color="008e00"/>
          <w:shd w:val="clear" w:color="auto" w:fill="ffffff"/>
          <w:rtl w:val="0"/>
          <w:lang w:val="en-US"/>
        </w:rPr>
        <w:t>s leadership has enlisted the help of our Market Intelligence Desk to craft this monthly publication to share major market dynamics impacting future power and gas prices. As every client</w:t>
      </w:r>
      <w:r>
        <w:rPr>
          <w:color w:val="008e00"/>
          <w:u w:color="008e00"/>
          <w:shd w:val="clear" w:color="auto" w:fill="ffffff"/>
          <w:rtl w:val="0"/>
          <w:lang w:val="en-US"/>
        </w:rPr>
        <w:t>’</w:t>
      </w:r>
      <w:r>
        <w:rPr>
          <w:color w:val="008e00"/>
          <w:u w:color="008e00"/>
          <w:shd w:val="clear" w:color="auto" w:fill="ffffff"/>
          <w:rtl w:val="0"/>
          <w:lang w:val="en-US"/>
        </w:rPr>
        <w:t xml:space="preserve">s situation is unique, we encourage you to review market movements with us to decide whether any action on your part could serve to lower your future costs or avoid known, </w:t>
      </w:r>
      <w:r>
        <w:rPr>
          <w:color w:val="008e00"/>
          <w:u w:color="008e00"/>
          <w:shd w:val="clear" w:color="auto" w:fill="ffffff"/>
        </w:rPr>
        <w:br w:type="textWrapping"/>
      </w:r>
      <w:r>
        <w:rPr>
          <w:color w:val="008e00"/>
          <w:u w:color="008e00"/>
          <w:shd w:val="clear" w:color="auto" w:fill="ffffff"/>
          <w:rtl w:val="0"/>
          <w:lang w:val="en-US"/>
        </w:rPr>
        <w:t xml:space="preserve">coming increases. </w:t>
      </w:r>
    </w:p>
    <w:p>
      <w:pPr>
        <w:pStyle w:val="Default"/>
        <w:rPr>
          <w:b w:val="1"/>
          <w:bCs w:val="1"/>
        </w:rPr>
      </w:pPr>
      <w:r>
        <w:rPr>
          <w:rFonts w:ascii="Helvetica" w:cs="Helvetica" w:hAnsi="Helvetica" w:eastAsia="Helvetica"/>
          <w:b w:val="1"/>
          <w:bCs w:val="1"/>
        </w:rPr>
        <w:br w:type="textWrapping"/>
      </w:r>
      <w:r>
        <w:rPr>
          <w:b w:val="1"/>
          <w:bCs w:val="1"/>
          <w:rtl w:val="0"/>
          <w:lang w:val="en-US"/>
        </w:rPr>
        <w:t xml:space="preserve">Weather </w:t>
      </w:r>
    </w:p>
    <w:p>
      <w:pPr>
        <w:pStyle w:val="Default"/>
        <w:spacing w:line="288" w:lineRule="auto"/>
      </w:pPr>
      <w:r>
        <w:rPr>
          <w:rtl w:val="0"/>
          <w:lang w:val="en-US"/>
        </w:rPr>
        <w:t xml:space="preserve">After an historically cold November (9th coldest since 1950), </w:t>
      </w:r>
      <w:r>
        <w:rPr>
          <w:rtl w:val="0"/>
          <w:lang w:val="en-US"/>
        </w:rPr>
        <w:t xml:space="preserve">forecasted </w:t>
      </w:r>
      <w:r>
        <w:rPr>
          <w:rtl w:val="0"/>
          <w:lang w:val="en-US"/>
        </w:rPr>
        <w:t xml:space="preserve">December cold never materialized and the month ended up the 14th warmest December since 1950. </w:t>
      </w:r>
      <w:r>
        <w:br w:type="textWrapping"/>
        <w:br w:type="textWrapping"/>
      </w:r>
      <w:r>
        <w:rPr>
          <w:rtl w:val="0"/>
          <w:lang w:val="en-US"/>
        </w:rPr>
        <w:t xml:space="preserve">Arctic air predicted to move into the U.S. still has not done so into early January. The map below shows forecasted temperatures through the 22nd. Based on Heating Degree Days (HDDs) the month is currently trending </w:t>
      </w:r>
      <w:r>
        <w:rPr>
          <w:rtl w:val="0"/>
          <w:lang w:val="en-US"/>
        </w:rPr>
        <w:t xml:space="preserve">to </w:t>
      </w:r>
      <w:r>
        <w:rPr>
          <w:rtl w:val="0"/>
          <w:lang w:val="en-US"/>
        </w:rPr>
        <w:t>be the 10th warmest January on record since 1950</w:t>
      </w:r>
      <w:r>
        <w:rPr>
          <w:rtl w:val="0"/>
          <w:lang w:val="en-US"/>
        </w:rPr>
        <w:t>,</w:t>
      </w:r>
      <w:r>
        <w:rPr>
          <w:rtl w:val="0"/>
          <w:lang w:val="en-US"/>
        </w:rPr>
        <w:t xml:space="preserve"> at a target of about 855 HDDs (table on the right, below). </w:t>
      </w:r>
      <w:r>
        <w:drawing>
          <wp:anchor distT="152400" distB="152400" distL="152400" distR="152400" simplePos="0" relativeHeight="251661312" behindDoc="0" locked="0" layoutInCell="1" allowOverlap="1">
            <wp:simplePos x="0" y="0"/>
            <wp:positionH relativeFrom="page">
              <wp:posOffset>826771</wp:posOffset>
            </wp:positionH>
            <wp:positionV relativeFrom="line">
              <wp:posOffset>164970</wp:posOffset>
            </wp:positionV>
            <wp:extent cx="6202387" cy="2120339"/>
            <wp:effectExtent l="0" t="0" r="0" b="0"/>
            <wp:wrapThrough wrapText="bothSides" distL="152400" distR="152400">
              <wp:wrapPolygon edited="1">
                <wp:start x="0" y="0"/>
                <wp:lineTo x="21621" y="0"/>
                <wp:lineTo x="21621" y="21658"/>
                <wp:lineTo x="0" y="21658"/>
                <wp:lineTo x="0" y="0"/>
              </wp:wrapPolygon>
            </wp:wrapThrough>
            <wp:docPr id="1073741825" name="officeArt object" descr="Screen Shot 2019-01-03 at 9.00.59 PM.png"/>
            <wp:cNvGraphicFramePr/>
            <a:graphic xmlns:a="http://schemas.openxmlformats.org/drawingml/2006/main">
              <a:graphicData uri="http://schemas.openxmlformats.org/drawingml/2006/picture">
                <pic:pic xmlns:pic="http://schemas.openxmlformats.org/drawingml/2006/picture">
                  <pic:nvPicPr>
                    <pic:cNvPr id="1073741825" name="Screen Shot 2019-01-03 at 9.00.59 PM.png" descr="Screen Shot 2019-01-03 at 9.00.59 PM.png"/>
                    <pic:cNvPicPr>
                      <a:picLocks noChangeAspect="1"/>
                    </pic:cNvPicPr>
                  </pic:nvPicPr>
                  <pic:blipFill>
                    <a:blip r:embed="rId4">
                      <a:extLst/>
                    </a:blip>
                    <a:stretch>
                      <a:fillRect/>
                    </a:stretch>
                  </pic:blipFill>
                  <pic:spPr>
                    <a:xfrm>
                      <a:off x="0" y="0"/>
                      <a:ext cx="6202387" cy="2120339"/>
                    </a:xfrm>
                    <a:prstGeom prst="rect">
                      <a:avLst/>
                    </a:prstGeom>
                    <a:ln w="12700" cap="flat">
                      <a:noFill/>
                      <a:miter lim="400000"/>
                    </a:ln>
                    <a:effectLst/>
                  </pic:spPr>
                </pic:pic>
              </a:graphicData>
            </a:graphic>
          </wp:anchor>
        </w:drawing>
      </w:r>
    </w:p>
    <w:p>
      <w:pPr>
        <w:pStyle w:val="Default"/>
        <w:rPr>
          <w:rFonts w:ascii="Helvetica" w:cs="Helvetica" w:hAnsi="Helvetica" w:eastAsia="Helvetica"/>
          <w:sz w:val="24"/>
          <w:szCs w:val="24"/>
        </w:rPr>
      </w:pPr>
    </w:p>
    <w:p>
      <w:pPr>
        <w:pStyle w:val="Default"/>
        <w:rPr>
          <w:rFonts w:ascii="Helvetica" w:cs="Helvetica" w:hAnsi="Helvetica" w:eastAsia="Helvetica"/>
          <w:b w:val="1"/>
          <w:bCs w:val="1"/>
          <w:sz w:val="24"/>
          <w:szCs w:val="24"/>
        </w:rPr>
      </w:pPr>
    </w:p>
    <w:p>
      <w:pPr>
        <w:pStyle w:val="Default"/>
        <w:spacing w:line="288" w:lineRule="auto"/>
        <w:rPr>
          <w:b w:val="1"/>
          <w:bCs w:val="1"/>
          <w:sz w:val="24"/>
          <w:szCs w:val="24"/>
          <w:lang w:val="pt-PT"/>
        </w:rPr>
      </w:pPr>
      <w:r>
        <w:rPr>
          <w:b w:val="1"/>
          <w:bCs w:val="1"/>
          <w:sz w:val="24"/>
          <w:szCs w:val="24"/>
          <w:rtl w:val="0"/>
          <w:lang w:val="pt-PT"/>
        </w:rPr>
        <w:t xml:space="preserve">Natural Gas </w:t>
      </w:r>
    </w:p>
    <w:p>
      <w:pPr>
        <w:pStyle w:val="Default"/>
        <w:spacing w:line="288" w:lineRule="auto"/>
      </w:pPr>
      <w:r>
        <w:rPr>
          <w:rtl w:val="0"/>
          <w:lang w:val="en-US"/>
        </w:rPr>
        <w:t xml:space="preserve">Natural gas is now the primary fuel source for power plants across the country and throughout New England. As gas prices often closely correlate to power futures, we monitor natural gas supply and demand fundamentals closely. </w:t>
      </w:r>
    </w:p>
    <w:p>
      <w:pPr>
        <w:pStyle w:val="Default"/>
        <w:spacing w:line="288" w:lineRule="auto"/>
      </w:pPr>
      <w:r>
        <w:rPr>
          <w:b w:val="1"/>
          <w:bCs w:val="1"/>
          <w:i w:val="1"/>
          <w:iCs w:val="1"/>
          <w:sz w:val="24"/>
          <w:szCs w:val="24"/>
        </w:rPr>
        <w:br w:type="textWrapping"/>
      </w:r>
      <w:r>
        <w:rPr>
          <w:b w:val="1"/>
          <w:bCs w:val="1"/>
          <w:i w:val="1"/>
          <w:iCs w:val="1"/>
          <w:sz w:val="24"/>
          <w:szCs w:val="24"/>
          <w:rtl w:val="0"/>
          <w:lang w:val="en-US"/>
        </w:rPr>
        <w:t>Prompt Month Prices</w:t>
      </w:r>
      <w:r>
        <w:rPr>
          <w:b w:val="1"/>
          <w:bCs w:val="1"/>
          <w:i w:val="1"/>
          <w:iCs w:val="1"/>
          <w:sz w:val="24"/>
          <w:szCs w:val="24"/>
        </w:rPr>
        <w:br w:type="textWrapping"/>
      </w:r>
      <w:r>
        <w:rPr>
          <w:rtl w:val="0"/>
          <w:lang w:val="en-US"/>
        </w:rPr>
        <w:t>As of market close on Thursday, January 3rd, the NYMEX prompt month (February) fell to $2.9</w:t>
      </w:r>
      <w:r>
        <w:rPr>
          <w:rtl w:val="0"/>
          <w:lang w:val="en-US"/>
        </w:rPr>
        <w:t>2</w:t>
      </w:r>
      <w:r>
        <w:rPr>
          <w:rtl w:val="0"/>
          <w:lang w:val="en-US"/>
        </w:rPr>
        <w:t>/MMBTU off a high of nearly $4.80 in late November</w:t>
      </w:r>
      <w:r>
        <w:rPr>
          <w:rtl w:val="0"/>
          <w:lang w:val="en-US"/>
        </w:rPr>
        <w:t xml:space="preserve"> (for December). The last time the prompt month hit $2.92 was in mid-September. </w:t>
      </w:r>
      <w:r>
        <w:br w:type="textWrapping"/>
        <w:br w:type="textWrapping"/>
      </w:r>
      <w:r>
        <w:rPr>
          <w:b w:val="1"/>
          <w:bCs w:val="1"/>
          <w:rtl w:val="0"/>
          <w:lang w:val="en-US"/>
        </w:rPr>
        <w:t xml:space="preserve">NYMEX Prompt Month Three Month Lookback </w:t>
      </w:r>
      <w:r>
        <w:br w:type="textWrapping"/>
      </w:r>
      <w:r>
        <w:drawing>
          <wp:anchor distT="0" distB="0" distL="0" distR="0" simplePos="0" relativeHeight="251663360" behindDoc="0" locked="0" layoutInCell="1" allowOverlap="1">
            <wp:simplePos x="0" y="0"/>
            <wp:positionH relativeFrom="page">
              <wp:posOffset>829280</wp:posOffset>
            </wp:positionH>
            <wp:positionV relativeFrom="page">
              <wp:posOffset>1090251</wp:posOffset>
            </wp:positionV>
            <wp:extent cx="4427252" cy="4191759"/>
            <wp:effectExtent l="0" t="0" r="0" b="0"/>
            <wp:wrapNone/>
            <wp:docPr id="1073741826" name="officeArt object" descr="Screen Shot 2019-01-03 at 9.49.50 PM.png"/>
            <wp:cNvGraphicFramePr/>
            <a:graphic xmlns:a="http://schemas.openxmlformats.org/drawingml/2006/main">
              <a:graphicData uri="http://schemas.openxmlformats.org/drawingml/2006/picture">
                <pic:pic xmlns:pic="http://schemas.openxmlformats.org/drawingml/2006/picture">
                  <pic:nvPicPr>
                    <pic:cNvPr id="1073741826" name="Screen Shot 2019-01-03 at 9.49.50 PM.png" descr="Screen Shot 2019-01-03 at 9.49.50 PM.png"/>
                    <pic:cNvPicPr>
                      <a:picLocks noChangeAspect="1"/>
                    </pic:cNvPicPr>
                  </pic:nvPicPr>
                  <pic:blipFill>
                    <a:blip r:embed="rId5">
                      <a:extLst/>
                    </a:blip>
                    <a:stretch>
                      <a:fillRect/>
                    </a:stretch>
                  </pic:blipFill>
                  <pic:spPr>
                    <a:xfrm>
                      <a:off x="0" y="0"/>
                      <a:ext cx="4427252" cy="4191759"/>
                    </a:xfrm>
                    <a:prstGeom prst="rect">
                      <a:avLst/>
                    </a:prstGeom>
                    <a:ln w="12700" cap="flat">
                      <a:noFill/>
                      <a:miter lim="400000"/>
                    </a:ln>
                    <a:effectLst/>
                  </pic:spPr>
                </pic:pic>
              </a:graphicData>
            </a:graphic>
          </wp:anchor>
        </w:drawing>
      </w:r>
    </w:p>
    <w:p>
      <w:pPr>
        <w:pStyle w:val="Default"/>
        <w:spacing w:line="288" w:lineRule="auto"/>
        <w:rPr>
          <w:rFonts w:ascii="Helvetica" w:cs="Helvetica" w:hAnsi="Helvetica" w:eastAsia="Helvetica"/>
          <w:b w:val="1"/>
          <w:bCs w:val="1"/>
          <w:i w:val="1"/>
          <w:iCs w:val="1"/>
          <w:sz w:val="24"/>
          <w:szCs w:val="24"/>
        </w:rPr>
      </w:pPr>
      <w:r>
        <w:br w:type="textWrapping"/>
      </w:r>
      <w:r>
        <w:rPr>
          <w:rFonts w:ascii="Helvetica" w:cs="Helvetica" w:hAnsi="Helvetica" w:eastAsia="Helvetica"/>
          <w:b w:val="1"/>
          <w:bCs w:val="1"/>
          <w:i w:val="1"/>
          <w:iCs w:val="1"/>
          <w:sz w:val="24"/>
          <w:szCs w:val="24"/>
          <w:rtl w:val="0"/>
        </w:rPr>
        <w:br w:type="textWrapping"/>
        <w:t xml:space="preserve"> </w:t>
      </w:r>
    </w:p>
    <w:p>
      <w:pPr>
        <w:pStyle w:val="Default"/>
        <w:rPr>
          <w:rFonts w:ascii="Helvetica" w:cs="Helvetica" w:hAnsi="Helvetica" w:eastAsia="Helvetica"/>
          <w:sz w:val="24"/>
          <w:szCs w:val="24"/>
        </w:rPr>
      </w:pPr>
    </w:p>
    <w:p>
      <w:pPr>
        <w:pStyle w:val="Default"/>
        <w:rPr>
          <w:rFonts w:ascii="Helvetica" w:cs="Helvetica" w:hAnsi="Helvetica" w:eastAsia="Helvetica"/>
          <w:b w:val="1"/>
          <w:bCs w:val="1"/>
          <w:i w:val="1"/>
          <w:iCs w:val="1"/>
          <w:sz w:val="24"/>
          <w:szCs w:val="24"/>
        </w:rPr>
      </w:pPr>
    </w:p>
    <w:p>
      <w:pPr>
        <w:pStyle w:val="Default"/>
        <w:rPr>
          <w:rFonts w:ascii="Helvetica" w:cs="Helvetica" w:hAnsi="Helvetica" w:eastAsia="Helvetica"/>
          <w:b w:val="1"/>
          <w:bCs w:val="1"/>
          <w:i w:val="1"/>
          <w:iCs w:val="1"/>
          <w:sz w:val="24"/>
          <w:szCs w:val="24"/>
        </w:rPr>
      </w:pPr>
    </w:p>
    <w:p>
      <w:pPr>
        <w:pStyle w:val="Default"/>
        <w:rPr>
          <w:rFonts w:ascii="Helvetica" w:cs="Helvetica" w:hAnsi="Helvetica" w:eastAsia="Helvetica"/>
          <w:b w:val="1"/>
          <w:bCs w:val="1"/>
          <w:i w:val="1"/>
          <w:iCs w:val="1"/>
          <w:sz w:val="24"/>
          <w:szCs w:val="24"/>
        </w:rPr>
      </w:pPr>
    </w:p>
    <w:p>
      <w:pPr>
        <w:pStyle w:val="Default"/>
        <w:rPr>
          <w:rFonts w:ascii="Helvetica" w:cs="Helvetica" w:hAnsi="Helvetica" w:eastAsia="Helvetica"/>
          <w:b w:val="1"/>
          <w:bCs w:val="1"/>
          <w:i w:val="1"/>
          <w:iCs w:val="1"/>
          <w:sz w:val="24"/>
          <w:szCs w:val="24"/>
        </w:rPr>
      </w:pPr>
    </w:p>
    <w:p>
      <w:pPr>
        <w:pStyle w:val="Default"/>
        <w:rPr>
          <w:rFonts w:ascii="Helvetica" w:cs="Helvetica" w:hAnsi="Helvetica" w:eastAsia="Helvetica"/>
          <w:b w:val="1"/>
          <w:bCs w:val="1"/>
          <w:i w:val="1"/>
          <w:iCs w:val="1"/>
          <w:sz w:val="24"/>
          <w:szCs w:val="24"/>
        </w:rPr>
      </w:pPr>
    </w:p>
    <w:p>
      <w:pPr>
        <w:pStyle w:val="Default"/>
        <w:rPr>
          <w:rFonts w:ascii="Helvetica" w:cs="Helvetica" w:hAnsi="Helvetica" w:eastAsia="Helvetica"/>
          <w:b w:val="1"/>
          <w:bCs w:val="1"/>
          <w:i w:val="1"/>
          <w:iCs w:val="1"/>
          <w:sz w:val="24"/>
          <w:szCs w:val="24"/>
        </w:rPr>
      </w:pPr>
    </w:p>
    <w:p>
      <w:pPr>
        <w:pStyle w:val="Default"/>
        <w:rPr>
          <w:rFonts w:ascii="Helvetica" w:cs="Helvetica" w:hAnsi="Helvetica" w:eastAsia="Helvetica"/>
          <w:b w:val="1"/>
          <w:bCs w:val="1"/>
          <w:i w:val="1"/>
          <w:iCs w:val="1"/>
          <w:sz w:val="24"/>
          <w:szCs w:val="24"/>
        </w:rPr>
      </w:pPr>
    </w:p>
    <w:p>
      <w:pPr>
        <w:pStyle w:val="Default"/>
        <w:rPr>
          <w:rFonts w:ascii="Helvetica" w:cs="Helvetica" w:hAnsi="Helvetica" w:eastAsia="Helvetica"/>
          <w:b w:val="1"/>
          <w:bCs w:val="1"/>
          <w:i w:val="1"/>
          <w:iCs w:val="1"/>
          <w:sz w:val="24"/>
          <w:szCs w:val="24"/>
        </w:rPr>
      </w:pPr>
    </w:p>
    <w:p>
      <w:pPr>
        <w:pStyle w:val="Default"/>
        <w:rPr>
          <w:rFonts w:ascii="Helvetica" w:cs="Helvetica" w:hAnsi="Helvetica" w:eastAsia="Helvetica"/>
          <w:b w:val="1"/>
          <w:bCs w:val="1"/>
          <w:i w:val="1"/>
          <w:iCs w:val="1"/>
          <w:sz w:val="24"/>
          <w:szCs w:val="24"/>
        </w:rPr>
      </w:pPr>
    </w:p>
    <w:p>
      <w:pPr>
        <w:pStyle w:val="Default"/>
        <w:rPr>
          <w:rFonts w:ascii="Helvetica" w:cs="Helvetica" w:hAnsi="Helvetica" w:eastAsia="Helvetica"/>
          <w:b w:val="1"/>
          <w:bCs w:val="1"/>
          <w:i w:val="1"/>
          <w:iCs w:val="1"/>
          <w:sz w:val="24"/>
          <w:szCs w:val="24"/>
        </w:rPr>
      </w:pPr>
    </w:p>
    <w:p>
      <w:pPr>
        <w:pStyle w:val="Default"/>
        <w:rPr>
          <w:rFonts w:ascii="Helvetica" w:cs="Helvetica" w:hAnsi="Helvetica" w:eastAsia="Helvetica"/>
          <w:b w:val="1"/>
          <w:bCs w:val="1"/>
          <w:i w:val="1"/>
          <w:iCs w:val="1"/>
          <w:sz w:val="24"/>
          <w:szCs w:val="24"/>
        </w:rPr>
      </w:pPr>
    </w:p>
    <w:p>
      <w:pPr>
        <w:pStyle w:val="Default"/>
        <w:rPr>
          <w:rFonts w:ascii="Helvetica" w:cs="Helvetica" w:hAnsi="Helvetica" w:eastAsia="Helvetica"/>
          <w:b w:val="1"/>
          <w:bCs w:val="1"/>
          <w:i w:val="1"/>
          <w:iCs w:val="1"/>
          <w:sz w:val="24"/>
          <w:szCs w:val="24"/>
        </w:rPr>
      </w:pPr>
    </w:p>
    <w:p>
      <w:pPr>
        <w:pStyle w:val="Default"/>
        <w:rPr>
          <w:rFonts w:ascii="Helvetica" w:cs="Helvetica" w:hAnsi="Helvetica" w:eastAsia="Helvetica"/>
          <w:b w:val="1"/>
          <w:bCs w:val="1"/>
          <w:i w:val="1"/>
          <w:iCs w:val="1"/>
          <w:sz w:val="24"/>
          <w:szCs w:val="24"/>
        </w:rPr>
      </w:pPr>
    </w:p>
    <w:p>
      <w:pPr>
        <w:pStyle w:val="Default"/>
        <w:rPr>
          <w:rFonts w:ascii="Helvetica" w:cs="Helvetica" w:hAnsi="Helvetica" w:eastAsia="Helvetica"/>
          <w:b w:val="1"/>
          <w:bCs w:val="1"/>
          <w:i w:val="1"/>
          <w:iCs w:val="1"/>
          <w:sz w:val="24"/>
          <w:szCs w:val="24"/>
        </w:rPr>
      </w:pPr>
    </w:p>
    <w:p>
      <w:pPr>
        <w:pStyle w:val="Default"/>
        <w:rPr>
          <w:rFonts w:ascii="Helvetica" w:cs="Helvetica" w:hAnsi="Helvetica" w:eastAsia="Helvetica"/>
          <w:b w:val="1"/>
          <w:bCs w:val="1"/>
          <w:i w:val="1"/>
          <w:iCs w:val="1"/>
          <w:sz w:val="24"/>
          <w:szCs w:val="24"/>
        </w:rPr>
      </w:pPr>
    </w:p>
    <w:p>
      <w:pPr>
        <w:pStyle w:val="Default"/>
        <w:rPr>
          <w:rFonts w:ascii="Helvetica" w:cs="Helvetica" w:hAnsi="Helvetica" w:eastAsia="Helvetica"/>
          <w:b w:val="1"/>
          <w:bCs w:val="1"/>
          <w:i w:val="1"/>
          <w:iCs w:val="1"/>
          <w:sz w:val="24"/>
          <w:szCs w:val="24"/>
        </w:rPr>
      </w:pPr>
    </w:p>
    <w:p>
      <w:pPr>
        <w:pStyle w:val="Default"/>
        <w:rPr>
          <w:rFonts w:ascii="Helvetica" w:cs="Helvetica" w:hAnsi="Helvetica" w:eastAsia="Helvetica"/>
          <w:b w:val="1"/>
          <w:bCs w:val="1"/>
          <w:i w:val="1"/>
          <w:iCs w:val="1"/>
          <w:sz w:val="24"/>
          <w:szCs w:val="24"/>
        </w:rPr>
      </w:pPr>
    </w:p>
    <w:p>
      <w:pPr>
        <w:pStyle w:val="Default"/>
        <w:rPr>
          <w:rFonts w:ascii="Helvetica" w:cs="Helvetica" w:hAnsi="Helvetica" w:eastAsia="Helvetica"/>
          <w:b w:val="1"/>
          <w:bCs w:val="1"/>
          <w:i w:val="1"/>
          <w:iCs w:val="1"/>
          <w:sz w:val="24"/>
          <w:szCs w:val="24"/>
        </w:rPr>
      </w:pPr>
    </w:p>
    <w:p>
      <w:pPr>
        <w:pStyle w:val="Default"/>
        <w:rPr>
          <w:rFonts w:ascii="Helvetica" w:cs="Helvetica" w:hAnsi="Helvetica" w:eastAsia="Helvetica"/>
          <w:b w:val="1"/>
          <w:bCs w:val="1"/>
          <w:i w:val="1"/>
          <w:iCs w:val="1"/>
          <w:sz w:val="24"/>
          <w:szCs w:val="24"/>
        </w:rPr>
      </w:pPr>
      <w:r>
        <w:rPr>
          <w:rFonts w:ascii="Helvetica" w:cs="Helvetica" w:hAnsi="Helvetica" w:eastAsia="Helvetica"/>
          <w:b w:val="1"/>
          <w:bCs w:val="1"/>
          <w:i w:val="1"/>
          <w:iCs w:val="1"/>
          <w:sz w:val="24"/>
          <w:szCs w:val="24"/>
        </w:rPr>
        <w:drawing>
          <wp:anchor distT="152400" distB="152400" distL="152400" distR="152400" simplePos="0" relativeHeight="251662336" behindDoc="0" locked="0" layoutInCell="1" allowOverlap="1">
            <wp:simplePos x="0" y="0"/>
            <wp:positionH relativeFrom="page">
              <wp:posOffset>829280</wp:posOffset>
            </wp:positionH>
            <wp:positionV relativeFrom="line">
              <wp:posOffset>340734</wp:posOffset>
            </wp:positionV>
            <wp:extent cx="4427251" cy="4164060"/>
            <wp:effectExtent l="0" t="0" r="0" b="0"/>
            <wp:wrapThrough wrapText="bothSides" distL="152400" distR="152400">
              <wp:wrapPolygon edited="1">
                <wp:start x="0" y="0"/>
                <wp:lineTo x="21600" y="0"/>
                <wp:lineTo x="21600" y="21600"/>
                <wp:lineTo x="0" y="21600"/>
                <wp:lineTo x="0" y="0"/>
              </wp:wrapPolygon>
            </wp:wrapThrough>
            <wp:docPr id="1073741827" name="officeArt object" descr="Screen Shot 2019-01-03 at 9.45.34 PM.png"/>
            <wp:cNvGraphicFramePr/>
            <a:graphic xmlns:a="http://schemas.openxmlformats.org/drawingml/2006/main">
              <a:graphicData uri="http://schemas.openxmlformats.org/drawingml/2006/picture">
                <pic:pic xmlns:pic="http://schemas.openxmlformats.org/drawingml/2006/picture">
                  <pic:nvPicPr>
                    <pic:cNvPr id="1073741827" name="Screen Shot 2019-01-03 at 9.45.34 PM.png" descr="Screen Shot 2019-01-03 at 9.45.34 PM.png"/>
                    <pic:cNvPicPr>
                      <a:picLocks noChangeAspect="1"/>
                    </pic:cNvPicPr>
                  </pic:nvPicPr>
                  <pic:blipFill>
                    <a:blip r:embed="rId6">
                      <a:extLst/>
                    </a:blip>
                    <a:stretch>
                      <a:fillRect/>
                    </a:stretch>
                  </pic:blipFill>
                  <pic:spPr>
                    <a:xfrm>
                      <a:off x="0" y="0"/>
                      <a:ext cx="4427251" cy="4164060"/>
                    </a:xfrm>
                    <a:prstGeom prst="rect">
                      <a:avLst/>
                    </a:prstGeom>
                    <a:ln w="12700" cap="flat">
                      <a:noFill/>
                      <a:miter lim="400000"/>
                    </a:ln>
                    <a:effectLst/>
                  </pic:spPr>
                </pic:pic>
              </a:graphicData>
            </a:graphic>
          </wp:anchor>
        </w:drawing>
      </w:r>
    </w:p>
    <w:p>
      <w:pPr>
        <w:pStyle w:val="Default"/>
        <w:spacing w:line="288" w:lineRule="auto"/>
        <w:rPr>
          <w:rFonts w:ascii="Helvetica" w:cs="Helvetica" w:hAnsi="Helvetica" w:eastAsia="Helvetica"/>
          <w:b w:val="1"/>
          <w:bCs w:val="1"/>
          <w:i w:val="1"/>
          <w:iCs w:val="1"/>
          <w:sz w:val="24"/>
          <w:szCs w:val="24"/>
        </w:rPr>
      </w:pPr>
      <w:r>
        <w:rPr>
          <w:b w:val="1"/>
          <w:bCs w:val="1"/>
          <w:rtl w:val="0"/>
          <w:lang w:val="en-US"/>
        </w:rPr>
        <w:t>NYMEX Prompt Month Two Year Lookback</w:t>
      </w:r>
    </w:p>
    <w:p>
      <w:pPr>
        <w:pStyle w:val="Default"/>
        <w:rPr>
          <w:rFonts w:ascii="Helvetica" w:cs="Helvetica" w:hAnsi="Helvetica" w:eastAsia="Helvetica"/>
          <w:b w:val="1"/>
          <w:bCs w:val="1"/>
          <w:i w:val="1"/>
          <w:iCs w:val="1"/>
          <w:sz w:val="24"/>
          <w:szCs w:val="24"/>
        </w:rPr>
      </w:pPr>
    </w:p>
    <w:p>
      <w:pPr>
        <w:pStyle w:val="Default"/>
        <w:rPr>
          <w:rFonts w:ascii="Helvetica" w:cs="Helvetica" w:hAnsi="Helvetica" w:eastAsia="Helvetica"/>
          <w:b w:val="1"/>
          <w:bCs w:val="1"/>
          <w:i w:val="1"/>
          <w:iCs w:val="1"/>
          <w:sz w:val="24"/>
          <w:szCs w:val="24"/>
        </w:rPr>
      </w:pPr>
    </w:p>
    <w:p>
      <w:pPr>
        <w:pStyle w:val="Default"/>
        <w:rPr>
          <w:rFonts w:ascii="Helvetica" w:cs="Helvetica" w:hAnsi="Helvetica" w:eastAsia="Helvetica"/>
          <w:b w:val="1"/>
          <w:bCs w:val="1"/>
          <w:i w:val="1"/>
          <w:iCs w:val="1"/>
          <w:sz w:val="24"/>
          <w:szCs w:val="24"/>
        </w:rPr>
      </w:pPr>
    </w:p>
    <w:p>
      <w:pPr>
        <w:pStyle w:val="Default"/>
        <w:rPr>
          <w:rFonts w:ascii="Helvetica" w:cs="Helvetica" w:hAnsi="Helvetica" w:eastAsia="Helvetica"/>
          <w:b w:val="1"/>
          <w:bCs w:val="1"/>
          <w:i w:val="1"/>
          <w:iCs w:val="1"/>
          <w:sz w:val="24"/>
          <w:szCs w:val="24"/>
        </w:rPr>
      </w:pPr>
    </w:p>
    <w:p>
      <w:pPr>
        <w:pStyle w:val="Default"/>
        <w:jc w:val="right"/>
        <w:rPr>
          <w:rFonts w:ascii="Helvetica" w:cs="Helvetica" w:hAnsi="Helvetica" w:eastAsia="Helvetica"/>
          <w:sz w:val="20"/>
          <w:szCs w:val="20"/>
        </w:rPr>
      </w:pPr>
      <w:r>
        <w:rPr>
          <w:rFonts w:ascii="Helvetica" w:cs="Helvetica" w:hAnsi="Helvetica" w:eastAsia="Helvetica"/>
          <w:sz w:val="20"/>
          <w:szCs w:val="2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pPr>
        <w:pStyle w:val="Default"/>
        <w:spacing w:line="288" w:lineRule="auto"/>
        <w:rPr>
          <w:sz w:val="24"/>
          <w:szCs w:val="24"/>
        </w:rPr>
      </w:pPr>
      <w:r>
        <w:rPr>
          <w:b w:val="1"/>
          <w:bCs w:val="1"/>
          <w:i w:val="1"/>
          <w:iCs w:val="1"/>
          <w:sz w:val="24"/>
          <w:szCs w:val="24"/>
          <w:rtl w:val="0"/>
          <w:lang w:val="en-US"/>
        </w:rPr>
        <w:t xml:space="preserve">Dry Natural Gas Production </w:t>
      </w:r>
    </w:p>
    <w:p>
      <w:pPr>
        <w:pStyle w:val="Default"/>
        <w:spacing w:line="288" w:lineRule="auto"/>
      </w:pPr>
      <w:r>
        <w:rPr>
          <w:rtl w:val="0"/>
          <w:lang w:val="en-US"/>
        </w:rPr>
        <w:t xml:space="preserve">Dry natural gas production broke all </w:t>
      </w:r>
      <w:r>
        <w:rPr>
          <w:rtl w:val="0"/>
          <w:lang w:val="en-US"/>
        </w:rPr>
        <w:t xml:space="preserve">previous </w:t>
      </w:r>
      <w:r>
        <w:rPr>
          <w:rtl w:val="0"/>
          <w:lang w:val="en-US"/>
        </w:rPr>
        <w:t>records in 2018 with November averaging 87.5 Bcf/day and December even high</w:t>
      </w:r>
      <w:r>
        <w:rPr>
          <w:rtl w:val="0"/>
          <w:lang w:val="en-US"/>
        </w:rPr>
        <w:t>er</w:t>
      </w:r>
      <w:r>
        <w:rPr>
          <w:rtl w:val="0"/>
          <w:lang w:val="en-US"/>
        </w:rPr>
        <w:t xml:space="preserve"> through mid-month. EIA</w:t>
      </w:r>
      <w:r>
        <w:rPr>
          <w:rtl w:val="0"/>
          <w:lang w:val="en-US"/>
        </w:rPr>
        <w:t>’</w:t>
      </w:r>
      <w:r>
        <w:rPr>
          <w:rtl w:val="0"/>
          <w:lang w:val="en-US"/>
        </w:rPr>
        <w:t>s final December numbers will be released on January 10th, and featured in our next issue.</w:t>
      </w:r>
      <w:r>
        <w:rPr>
          <w:rFonts w:ascii="Times New Roman" w:cs="Times New Roman" w:hAnsi="Times New Roman" w:eastAsia="Times New Roman"/>
        </w:rPr>
        <w:drawing>
          <wp:anchor distT="152400" distB="152400" distL="152400" distR="152400" simplePos="0" relativeHeight="251664384" behindDoc="0" locked="0" layoutInCell="1" allowOverlap="1">
            <wp:simplePos x="0" y="0"/>
            <wp:positionH relativeFrom="page">
              <wp:posOffset>1212850</wp:posOffset>
            </wp:positionH>
            <wp:positionV relativeFrom="line">
              <wp:posOffset>172766</wp:posOffset>
            </wp:positionV>
            <wp:extent cx="5155895" cy="3563280"/>
            <wp:effectExtent l="0" t="0" r="0" b="0"/>
            <wp:wrapThrough wrapText="bothSides" distL="152400" distR="152400">
              <wp:wrapPolygon edited="1">
                <wp:start x="0" y="0"/>
                <wp:lineTo x="21621" y="0"/>
                <wp:lineTo x="21621" y="21609"/>
                <wp:lineTo x="0" y="21609"/>
                <wp:lineTo x="0" y="0"/>
              </wp:wrapPolygon>
            </wp:wrapThrough>
            <wp:docPr id="1073741828" name="officeArt object" descr="Screen Shot 2019-01-03 at 10.07.14 PM.png"/>
            <wp:cNvGraphicFramePr/>
            <a:graphic xmlns:a="http://schemas.openxmlformats.org/drawingml/2006/main">
              <a:graphicData uri="http://schemas.openxmlformats.org/drawingml/2006/picture">
                <pic:pic xmlns:pic="http://schemas.openxmlformats.org/drawingml/2006/picture">
                  <pic:nvPicPr>
                    <pic:cNvPr id="1073741828" name="Screen Shot 2019-01-03 at 10.07.14 PM.png" descr="Screen Shot 2019-01-03 at 10.07.14 PM.png"/>
                    <pic:cNvPicPr>
                      <a:picLocks noChangeAspect="1"/>
                    </pic:cNvPicPr>
                  </pic:nvPicPr>
                  <pic:blipFill>
                    <a:blip r:embed="rId7">
                      <a:extLst/>
                    </a:blip>
                    <a:stretch>
                      <a:fillRect/>
                    </a:stretch>
                  </pic:blipFill>
                  <pic:spPr>
                    <a:xfrm>
                      <a:off x="0" y="0"/>
                      <a:ext cx="5155895" cy="3563280"/>
                    </a:xfrm>
                    <a:prstGeom prst="rect">
                      <a:avLst/>
                    </a:prstGeom>
                    <a:ln w="12700" cap="flat">
                      <a:noFill/>
                      <a:miter lim="400000"/>
                    </a:ln>
                    <a:effectLst/>
                  </pic:spPr>
                </pic:pic>
              </a:graphicData>
            </a:graphic>
          </wp:anchor>
        </w:drawing>
      </w:r>
      <w:r>
        <w:rPr>
          <w:rtl w:val="0"/>
          <w:lang w:val="en-US"/>
        </w:rPr>
        <w:t xml:space="preserve"> </w:t>
      </w:r>
    </w:p>
    <w:p>
      <w:pPr>
        <w:pStyle w:val="Default"/>
        <w:spacing w:line="288" w:lineRule="auto"/>
      </w:pPr>
    </w:p>
    <w:p>
      <w:pPr>
        <w:pStyle w:val="Default"/>
        <w:spacing w:line="288" w:lineRule="auto"/>
      </w:pPr>
    </w:p>
    <w:p>
      <w:pPr>
        <w:pStyle w:val="Default"/>
        <w:spacing w:line="288" w:lineRule="auto"/>
        <w:rPr>
          <w:rFonts w:ascii="Helvetica" w:cs="Helvetica" w:hAnsi="Helvetica" w:eastAsia="Helvetica"/>
          <w:sz w:val="24"/>
          <w:szCs w:val="24"/>
        </w:rPr>
      </w:pPr>
    </w:p>
    <w:p>
      <w:pPr>
        <w:pStyle w:val="Default"/>
        <w:rPr>
          <w:rFonts w:ascii="Helvetica" w:cs="Helvetica" w:hAnsi="Helvetica" w:eastAsia="Helvetica"/>
          <w:sz w:val="24"/>
          <w:szCs w:val="24"/>
        </w:rPr>
      </w:pPr>
    </w:p>
    <w:p>
      <w:pPr>
        <w:pStyle w:val="Default"/>
        <w:rPr>
          <w:rFonts w:ascii="Helvetica" w:cs="Helvetica" w:hAnsi="Helvetica" w:eastAsia="Helvetica"/>
          <w:sz w:val="24"/>
          <w:szCs w:val="24"/>
        </w:rPr>
      </w:pPr>
    </w:p>
    <w:p>
      <w:pPr>
        <w:pStyle w:val="Default"/>
        <w:rPr>
          <w:rFonts w:ascii="Helvetica" w:cs="Helvetica" w:hAnsi="Helvetica" w:eastAsia="Helvetica"/>
          <w:sz w:val="24"/>
          <w:szCs w:val="24"/>
        </w:rPr>
      </w:pPr>
    </w:p>
    <w:p>
      <w:pPr>
        <w:pStyle w:val="Default"/>
        <w:rPr>
          <w:rFonts w:ascii="Helvetica" w:cs="Helvetica" w:hAnsi="Helvetica" w:eastAsia="Helvetica"/>
          <w:sz w:val="24"/>
          <w:szCs w:val="24"/>
        </w:rPr>
      </w:pPr>
    </w:p>
    <w:p>
      <w:pPr>
        <w:pStyle w:val="Default"/>
        <w:rPr>
          <w:rFonts w:ascii="Helvetica" w:cs="Helvetica" w:hAnsi="Helvetica" w:eastAsia="Helvetica"/>
          <w:sz w:val="24"/>
          <w:szCs w:val="24"/>
        </w:rPr>
      </w:pPr>
    </w:p>
    <w:p>
      <w:pPr>
        <w:pStyle w:val="Default"/>
        <w:rPr>
          <w:rFonts w:ascii="Helvetica" w:cs="Helvetica" w:hAnsi="Helvetica" w:eastAsia="Helvetica"/>
          <w:sz w:val="24"/>
          <w:szCs w:val="24"/>
        </w:rPr>
      </w:pPr>
    </w:p>
    <w:p>
      <w:pPr>
        <w:pStyle w:val="Default"/>
        <w:rPr>
          <w:rFonts w:ascii="Helvetica" w:cs="Helvetica" w:hAnsi="Helvetica" w:eastAsia="Helvetica"/>
          <w:sz w:val="24"/>
          <w:szCs w:val="24"/>
        </w:rPr>
      </w:pPr>
    </w:p>
    <w:p>
      <w:pPr>
        <w:pStyle w:val="Default"/>
        <w:rPr>
          <w:rFonts w:ascii="Helvetica" w:cs="Helvetica" w:hAnsi="Helvetica" w:eastAsia="Helvetica"/>
          <w:sz w:val="24"/>
          <w:szCs w:val="24"/>
        </w:rPr>
      </w:pPr>
    </w:p>
    <w:p>
      <w:pPr>
        <w:pStyle w:val="Default"/>
        <w:rPr>
          <w:rFonts w:ascii="Helvetica" w:cs="Helvetica" w:hAnsi="Helvetica" w:eastAsia="Helvetica"/>
          <w:sz w:val="24"/>
          <w:szCs w:val="24"/>
        </w:rPr>
      </w:pPr>
    </w:p>
    <w:p>
      <w:pPr>
        <w:pStyle w:val="Default"/>
        <w:rPr>
          <w:rFonts w:ascii="Helvetica" w:cs="Helvetica" w:hAnsi="Helvetica" w:eastAsia="Helvetica"/>
          <w:sz w:val="24"/>
          <w:szCs w:val="24"/>
        </w:rPr>
      </w:pPr>
    </w:p>
    <w:p>
      <w:pPr>
        <w:pStyle w:val="Default"/>
        <w:rPr>
          <w:rFonts w:ascii="Helvetica" w:cs="Helvetica" w:hAnsi="Helvetica" w:eastAsia="Helvetica"/>
          <w:sz w:val="24"/>
          <w:szCs w:val="24"/>
        </w:rPr>
      </w:pPr>
    </w:p>
    <w:p>
      <w:pPr>
        <w:pStyle w:val="Default"/>
        <w:rPr>
          <w:rFonts w:ascii="Helvetica" w:cs="Helvetica" w:hAnsi="Helvetica" w:eastAsia="Helvetica"/>
          <w:sz w:val="24"/>
          <w:szCs w:val="24"/>
        </w:rPr>
      </w:pPr>
    </w:p>
    <w:p>
      <w:pPr>
        <w:pStyle w:val="Default"/>
        <w:rPr>
          <w:rFonts w:ascii="Helvetica" w:cs="Helvetica" w:hAnsi="Helvetica" w:eastAsia="Helvetica"/>
          <w:sz w:val="24"/>
          <w:szCs w:val="24"/>
        </w:rPr>
      </w:pPr>
    </w:p>
    <w:p>
      <w:pPr>
        <w:pStyle w:val="Default"/>
        <w:rPr>
          <w:rFonts w:ascii="Helvetica" w:cs="Helvetica" w:hAnsi="Helvetica" w:eastAsia="Helvetica"/>
          <w:b w:val="1"/>
          <w:bCs w:val="1"/>
          <w:i w:val="1"/>
          <w:iCs w:val="1"/>
          <w:sz w:val="24"/>
          <w:szCs w:val="24"/>
        </w:rPr>
      </w:pPr>
    </w:p>
    <w:p>
      <w:pPr>
        <w:pStyle w:val="Default"/>
        <w:rPr>
          <w:rFonts w:ascii="Helvetica" w:cs="Helvetica" w:hAnsi="Helvetica" w:eastAsia="Helvetica"/>
          <w:b w:val="1"/>
          <w:bCs w:val="1"/>
          <w:i w:val="1"/>
          <w:iCs w:val="1"/>
          <w:sz w:val="24"/>
          <w:szCs w:val="24"/>
        </w:rPr>
      </w:pPr>
    </w:p>
    <w:p>
      <w:pPr>
        <w:pStyle w:val="Default"/>
        <w:rPr>
          <w:rFonts w:ascii="Helvetica" w:cs="Helvetica" w:hAnsi="Helvetica" w:eastAsia="Helvetica"/>
          <w:b w:val="1"/>
          <w:bCs w:val="1"/>
          <w:i w:val="1"/>
          <w:iCs w:val="1"/>
          <w:sz w:val="24"/>
          <w:szCs w:val="24"/>
        </w:rPr>
      </w:pPr>
    </w:p>
    <w:p>
      <w:pPr>
        <w:pStyle w:val="Default"/>
        <w:jc w:val="right"/>
        <w:rPr>
          <w:rFonts w:ascii="Helvetica" w:cs="Helvetica" w:hAnsi="Helvetica" w:eastAsia="Helvetica"/>
          <w:sz w:val="20"/>
          <w:szCs w:val="20"/>
        </w:rPr>
      </w:pPr>
      <w:r>
        <w:rPr>
          <w:rFonts w:ascii="Helvetica" w:cs="Helvetica" w:hAnsi="Helvetica" w:eastAsia="Helvetica"/>
          <w:sz w:val="20"/>
          <w:szCs w:val="20"/>
        </w:rPr>
        <w:br w:type="textWrapping"/>
      </w:r>
    </w:p>
    <w:p>
      <w:pPr>
        <w:pStyle w:val="Default"/>
        <w:jc w:val="right"/>
        <w:rPr>
          <w:rFonts w:ascii="Helvetica" w:cs="Helvetica" w:hAnsi="Helvetica" w:eastAsia="Helvetica"/>
          <w:sz w:val="20"/>
          <w:szCs w:val="20"/>
        </w:rPr>
      </w:pPr>
      <w:r>
        <w:rPr>
          <w:rFonts w:ascii="Helvetica" w:cs="Helvetica" w:hAnsi="Helvetica" w:eastAsia="Helvetica"/>
          <w:sz w:val="20"/>
          <w:szCs w:val="20"/>
        </w:rPr>
        <w:br w:type="textWrapping"/>
      </w:r>
      <w:r>
        <w:rPr>
          <w:rFonts w:ascii="Helvetica" w:hAnsi="Helvetica"/>
          <w:sz w:val="20"/>
          <w:szCs w:val="20"/>
          <w:rtl w:val="0"/>
          <w:lang w:val="en-US"/>
        </w:rPr>
        <w:t>Source: EIA</w:t>
      </w:r>
    </w:p>
    <w:p>
      <w:pPr>
        <w:pStyle w:val="Default"/>
        <w:rPr>
          <w:rFonts w:ascii="Helvetica" w:cs="Helvetica" w:hAnsi="Helvetica" w:eastAsia="Helvetica"/>
          <w:b w:val="1"/>
          <w:bCs w:val="1"/>
          <w:i w:val="1"/>
          <w:iCs w:val="1"/>
          <w:sz w:val="24"/>
          <w:szCs w:val="24"/>
        </w:rPr>
      </w:pPr>
    </w:p>
    <w:p>
      <w:pPr>
        <w:pStyle w:val="Default"/>
        <w:spacing w:line="288" w:lineRule="auto"/>
        <w:rPr>
          <w:b w:val="1"/>
          <w:bCs w:val="1"/>
          <w:i w:val="1"/>
          <w:iCs w:val="1"/>
          <w:sz w:val="24"/>
          <w:szCs w:val="24"/>
        </w:rPr>
      </w:pPr>
    </w:p>
    <w:p>
      <w:pPr>
        <w:pStyle w:val="Default"/>
        <w:spacing w:line="288" w:lineRule="auto"/>
        <w:rPr>
          <w:sz w:val="24"/>
          <w:szCs w:val="24"/>
        </w:rPr>
      </w:pPr>
      <w:r>
        <w:rPr>
          <w:b w:val="1"/>
          <w:bCs w:val="1"/>
          <w:i w:val="1"/>
          <w:iCs w:val="1"/>
          <w:sz w:val="24"/>
          <w:szCs w:val="24"/>
          <w:rtl w:val="0"/>
          <w:lang w:val="en-US"/>
        </w:rPr>
        <w:t>Dry Natural Gas Storage</w:t>
      </w:r>
      <w:r>
        <w:rPr>
          <w:b w:val="1"/>
          <w:bCs w:val="1"/>
          <w:i w:val="1"/>
          <w:iCs w:val="1"/>
          <w:sz w:val="24"/>
          <w:szCs w:val="24"/>
        </w:rPr>
        <w:br w:type="textWrapping"/>
      </w:r>
      <w:r>
        <w:rPr>
          <w:rtl w:val="0"/>
          <w:lang w:val="en-US"/>
        </w:rPr>
        <w:t xml:space="preserve">The biggest threat to both power and gas future prices throughout 2018 was the seemingly impenetrable deficit of natural gas in storage relative to the five-year average. </w:t>
      </w:r>
      <w:r>
        <w:br w:type="textWrapping"/>
        <w:br w:type="textWrapping"/>
      </w:r>
      <w:r>
        <w:rPr>
          <w:rtl w:val="0"/>
          <w:lang w:val="en-US"/>
        </w:rPr>
        <w:t>The EIA</w:t>
      </w:r>
      <w:r>
        <w:rPr>
          <w:rtl w:val="0"/>
          <w:lang w:val="en-US"/>
        </w:rPr>
        <w:t>’</w:t>
      </w:r>
      <w:r>
        <w:rPr>
          <w:rtl w:val="0"/>
          <w:lang w:val="en-US"/>
        </w:rPr>
        <w:t xml:space="preserve">s </w:t>
      </w:r>
      <w:r>
        <w:rPr>
          <w:rtl w:val="0"/>
          <w:lang w:val="en-US"/>
        </w:rPr>
        <w:t xml:space="preserve">January 4th </w:t>
      </w:r>
      <w:r>
        <w:rPr>
          <w:rtl w:val="0"/>
          <w:lang w:val="en-US"/>
        </w:rPr>
        <w:t>Weekly Storage Report (</w:t>
      </w:r>
      <w:r>
        <w:rPr>
          <w:rtl w:val="0"/>
          <w:lang w:val="en-US"/>
        </w:rPr>
        <w:t xml:space="preserve">released this morning </w:t>
      </w:r>
      <w:r>
        <w:rPr>
          <w:rtl w:val="0"/>
          <w:lang w:val="en-US"/>
        </w:rPr>
        <w:t xml:space="preserve">for the week ending December </w:t>
      </w:r>
      <w:r>
        <w:rPr>
          <w:rtl w:val="0"/>
          <w:lang w:val="en-US"/>
        </w:rPr>
        <w:t>28th</w:t>
      </w:r>
      <w:r>
        <w:rPr>
          <w:rtl w:val="0"/>
          <w:lang w:val="en-US"/>
        </w:rPr>
        <w:t xml:space="preserve">) reported </w:t>
      </w:r>
      <w:r>
        <w:rPr>
          <w:rtl w:val="0"/>
          <w:lang w:val="en-US"/>
        </w:rPr>
        <w:t xml:space="preserve">inventories of </w:t>
      </w:r>
      <w:r>
        <w:rPr>
          <w:rtl w:val="0"/>
          <w:lang w:val="en-US"/>
        </w:rPr>
        <w:t>2,7</w:t>
      </w:r>
      <w:r>
        <w:rPr>
          <w:rtl w:val="0"/>
          <w:lang w:val="en-US"/>
        </w:rPr>
        <w:t>0</w:t>
      </w:r>
      <w:r>
        <w:rPr>
          <w:rtl w:val="0"/>
          <w:lang w:val="en-US"/>
        </w:rPr>
        <w:t xml:space="preserve">5 Bcf, </w:t>
      </w:r>
      <w:r>
        <w:rPr>
          <w:rtl w:val="0"/>
          <w:lang w:val="en-US"/>
        </w:rPr>
        <w:t>450</w:t>
      </w:r>
      <w:r>
        <w:rPr>
          <w:rtl w:val="0"/>
          <w:lang w:val="en-US"/>
        </w:rPr>
        <w:t xml:space="preserve"> Bcf less than </w:t>
      </w:r>
      <w:r>
        <w:rPr>
          <w:rtl w:val="0"/>
          <w:lang w:val="en-US"/>
        </w:rPr>
        <w:t xml:space="preserve">this week </w:t>
      </w:r>
      <w:r>
        <w:rPr>
          <w:rtl w:val="0"/>
          <w:lang w:val="en-US"/>
        </w:rPr>
        <w:t xml:space="preserve">last year, and </w:t>
      </w:r>
      <w:r>
        <w:rPr>
          <w:rtl w:val="0"/>
          <w:lang w:val="en-US"/>
        </w:rPr>
        <w:t>560</w:t>
      </w:r>
      <w:r>
        <w:rPr>
          <w:rtl w:val="0"/>
          <w:lang w:val="en-US"/>
        </w:rPr>
        <w:t xml:space="preserve"> Bcf below the five-year average of 3,</w:t>
      </w:r>
      <w:r>
        <w:rPr>
          <w:rtl w:val="0"/>
          <w:lang w:val="en-US"/>
        </w:rPr>
        <w:t>265</w:t>
      </w:r>
      <w:r>
        <w:rPr>
          <w:rtl w:val="0"/>
          <w:lang w:val="en-US"/>
        </w:rPr>
        <w:t xml:space="preserve"> Bcf. </w:t>
      </w:r>
      <w:r>
        <w:br w:type="textWrapping"/>
        <w:br w:type="textWrapping"/>
      </w:r>
      <w:r>
        <w:rPr>
          <w:rtl w:val="0"/>
          <w:lang w:val="en-US"/>
        </w:rPr>
        <w:t xml:space="preserve">While there is a lot of winter left to go, warmer-than-expected temperatures and slowed heating demand have served to narrow the storage deficit to the 5-year average by 2% </w:t>
      </w:r>
      <w:r>
        <w:rPr>
          <w:rtl w:val="0"/>
          <w:lang w:val="en-US"/>
        </w:rPr>
        <w:t xml:space="preserve">— </w:t>
      </w:r>
      <w:r>
        <w:rPr>
          <w:rtl w:val="0"/>
          <w:lang w:val="en-US"/>
        </w:rPr>
        <w:t xml:space="preserve">from 19% to 17%. This is bearish news for buyers right now, but cold in late January through March could quickly reverse this trajectory. </w:t>
      </w:r>
    </w:p>
    <w:p>
      <w:pPr>
        <w:pStyle w:val="Default"/>
        <w:rPr>
          <w:rFonts w:ascii="Helvetica" w:cs="Helvetica" w:hAnsi="Helvetica" w:eastAsia="Helvetica"/>
          <w:b w:val="1"/>
          <w:bCs w:val="1"/>
          <w:sz w:val="24"/>
          <w:szCs w:val="24"/>
        </w:rPr>
      </w:pPr>
    </w:p>
    <w:p>
      <w:pPr>
        <w:pStyle w:val="Default"/>
        <w:rPr>
          <w:rFonts w:ascii="Helvetica" w:cs="Helvetica" w:hAnsi="Helvetica" w:eastAsia="Helvetica"/>
          <w:b w:val="1"/>
          <w:bCs w:val="1"/>
          <w:sz w:val="24"/>
          <w:szCs w:val="24"/>
        </w:rPr>
      </w:pPr>
    </w:p>
    <w:p>
      <w:pPr>
        <w:pStyle w:val="Default"/>
        <w:rPr>
          <w:rFonts w:ascii="Helvetica Light" w:cs="Helvetica Light" w:hAnsi="Helvetica Light" w:eastAsia="Helvetica Light"/>
        </w:rPr>
      </w:pPr>
      <w:r>
        <w:rPr>
          <w:rFonts w:ascii="Helvetica" w:cs="Helvetica" w:hAnsi="Helvetica" w:eastAsia="Helvetica"/>
        </w:rPr>
        <w:drawing>
          <wp:anchor distT="152400" distB="152400" distL="152400" distR="152400" simplePos="0" relativeHeight="251665408" behindDoc="0" locked="0" layoutInCell="1" allowOverlap="1">
            <wp:simplePos x="0" y="0"/>
            <wp:positionH relativeFrom="margin">
              <wp:posOffset>-118110</wp:posOffset>
            </wp:positionH>
            <wp:positionV relativeFrom="page">
              <wp:posOffset>670559</wp:posOffset>
            </wp:positionV>
            <wp:extent cx="5260288" cy="3494334"/>
            <wp:effectExtent l="0" t="0" r="0" b="0"/>
            <wp:wrapThrough wrapText="bothSides" distL="152400" distR="152400">
              <wp:wrapPolygon edited="1">
                <wp:start x="0" y="0"/>
                <wp:lineTo x="21600" y="0"/>
                <wp:lineTo x="21600" y="21624"/>
                <wp:lineTo x="0" y="21624"/>
                <wp:lineTo x="0" y="0"/>
              </wp:wrapPolygon>
            </wp:wrapThrough>
            <wp:docPr id="1073741829" name="officeArt object" descr="Screen Shot 2019-01-03 at 10.34.25 PM.png"/>
            <wp:cNvGraphicFramePr/>
            <a:graphic xmlns:a="http://schemas.openxmlformats.org/drawingml/2006/main">
              <a:graphicData uri="http://schemas.openxmlformats.org/drawingml/2006/picture">
                <pic:pic xmlns:pic="http://schemas.openxmlformats.org/drawingml/2006/picture">
                  <pic:nvPicPr>
                    <pic:cNvPr id="1073741829" name="Screen Shot 2019-01-03 at 10.34.25 PM.png" descr="Screen Shot 2019-01-03 at 10.34.25 PM.png"/>
                    <pic:cNvPicPr>
                      <a:picLocks noChangeAspect="1"/>
                    </pic:cNvPicPr>
                  </pic:nvPicPr>
                  <pic:blipFill>
                    <a:blip r:embed="rId8">
                      <a:extLst/>
                    </a:blip>
                    <a:stretch>
                      <a:fillRect/>
                    </a:stretch>
                  </pic:blipFill>
                  <pic:spPr>
                    <a:xfrm>
                      <a:off x="0" y="0"/>
                      <a:ext cx="5260288" cy="3494334"/>
                    </a:xfrm>
                    <a:prstGeom prst="rect">
                      <a:avLst/>
                    </a:prstGeom>
                    <a:ln w="12700" cap="flat">
                      <a:noFill/>
                      <a:miter lim="400000"/>
                    </a:ln>
                    <a:effectLst/>
                  </pic:spPr>
                </pic:pic>
              </a:graphicData>
            </a:graphic>
          </wp:anchor>
        </w:drawing>
      </w:r>
    </w:p>
    <w:p>
      <w:pPr>
        <w:pStyle w:val="Default"/>
        <w:spacing w:line="288" w:lineRule="auto"/>
        <w:rPr>
          <w:rFonts w:ascii="Helvetica Light" w:cs="Helvetica Light" w:hAnsi="Helvetica Light" w:eastAsia="Helvetica Light"/>
        </w:rPr>
      </w:pPr>
    </w:p>
    <w:p>
      <w:pPr>
        <w:pStyle w:val="Default"/>
        <w:spacing w:line="288" w:lineRule="auto"/>
        <w:rPr>
          <w:rFonts w:ascii="Helvetica Light" w:cs="Helvetica Light" w:hAnsi="Helvetica Light" w:eastAsia="Helvetica Light"/>
        </w:rPr>
      </w:pPr>
    </w:p>
    <w:p>
      <w:pPr>
        <w:pStyle w:val="Default"/>
        <w:spacing w:line="288" w:lineRule="auto"/>
        <w:rPr>
          <w:rFonts w:ascii="Helvetica Light" w:cs="Helvetica Light" w:hAnsi="Helvetica Light" w:eastAsia="Helvetica Light"/>
        </w:rPr>
      </w:pPr>
    </w:p>
    <w:p>
      <w:pPr>
        <w:pStyle w:val="Default"/>
        <w:spacing w:line="288" w:lineRule="auto"/>
        <w:rPr>
          <w:rFonts w:ascii="Helvetica Light" w:cs="Helvetica Light" w:hAnsi="Helvetica Light" w:eastAsia="Helvetica Light"/>
        </w:rPr>
      </w:pPr>
    </w:p>
    <w:p>
      <w:pPr>
        <w:pStyle w:val="Default"/>
        <w:spacing w:line="288" w:lineRule="auto"/>
        <w:rPr>
          <w:rFonts w:ascii="Helvetica Light" w:cs="Helvetica Light" w:hAnsi="Helvetica Light" w:eastAsia="Helvetica Light"/>
        </w:rPr>
      </w:pPr>
    </w:p>
    <w:p>
      <w:pPr>
        <w:pStyle w:val="Default"/>
        <w:spacing w:line="288" w:lineRule="auto"/>
        <w:rPr>
          <w:rFonts w:ascii="Helvetica Light" w:cs="Helvetica Light" w:hAnsi="Helvetica Light" w:eastAsia="Helvetica Light"/>
        </w:rPr>
      </w:pPr>
    </w:p>
    <w:p>
      <w:pPr>
        <w:pStyle w:val="Default"/>
        <w:spacing w:line="288" w:lineRule="auto"/>
        <w:rPr>
          <w:rFonts w:ascii="Helvetica Light" w:cs="Helvetica Light" w:hAnsi="Helvetica Light" w:eastAsia="Helvetica Light"/>
        </w:rPr>
      </w:pPr>
    </w:p>
    <w:p>
      <w:pPr>
        <w:pStyle w:val="Default"/>
        <w:spacing w:line="288" w:lineRule="auto"/>
        <w:rPr>
          <w:rFonts w:ascii="Helvetica Light" w:cs="Helvetica Light" w:hAnsi="Helvetica Light" w:eastAsia="Helvetica Light"/>
        </w:rPr>
      </w:pPr>
    </w:p>
    <w:p>
      <w:pPr>
        <w:pStyle w:val="Default"/>
        <w:spacing w:line="288" w:lineRule="auto"/>
        <w:rPr>
          <w:rFonts w:ascii="Helvetica Light" w:cs="Helvetica Light" w:hAnsi="Helvetica Light" w:eastAsia="Helvetica Light"/>
        </w:rPr>
      </w:pPr>
    </w:p>
    <w:p>
      <w:pPr>
        <w:pStyle w:val="Default"/>
        <w:spacing w:line="288" w:lineRule="auto"/>
        <w:rPr>
          <w:rFonts w:ascii="Helvetica Light" w:cs="Helvetica Light" w:hAnsi="Helvetica Light" w:eastAsia="Helvetica Light"/>
        </w:rPr>
      </w:pPr>
    </w:p>
    <w:p>
      <w:pPr>
        <w:pStyle w:val="Default"/>
        <w:spacing w:line="288" w:lineRule="auto"/>
        <w:rPr>
          <w:rFonts w:ascii="Helvetica Light" w:cs="Helvetica Light" w:hAnsi="Helvetica Light" w:eastAsia="Helvetica Light"/>
        </w:rPr>
      </w:pPr>
    </w:p>
    <w:p>
      <w:pPr>
        <w:pStyle w:val="Default"/>
        <w:spacing w:line="288" w:lineRule="auto"/>
        <w:rPr>
          <w:rFonts w:ascii="Helvetica Light" w:cs="Helvetica Light" w:hAnsi="Helvetica Light" w:eastAsia="Helvetica Light"/>
        </w:rPr>
      </w:pPr>
    </w:p>
    <w:p>
      <w:pPr>
        <w:pStyle w:val="Default"/>
        <w:spacing w:line="288" w:lineRule="auto"/>
        <w:rPr>
          <w:rFonts w:ascii="Helvetica Light" w:cs="Helvetica Light" w:hAnsi="Helvetica Light" w:eastAsia="Helvetica Light"/>
        </w:rPr>
      </w:pPr>
    </w:p>
    <w:p>
      <w:pPr>
        <w:pStyle w:val="Default"/>
        <w:spacing w:line="288" w:lineRule="auto"/>
        <w:rPr>
          <w:rFonts w:ascii="Helvetica Light" w:cs="Helvetica Light" w:hAnsi="Helvetica Light" w:eastAsia="Helvetica Light"/>
        </w:rPr>
      </w:pPr>
    </w:p>
    <w:p>
      <w:pPr>
        <w:pStyle w:val="Default"/>
        <w:spacing w:line="288" w:lineRule="auto"/>
        <w:rPr>
          <w:rFonts w:ascii="Helvetica Light" w:cs="Helvetica Light" w:hAnsi="Helvetica Light" w:eastAsia="Helvetica Light"/>
        </w:rPr>
      </w:pPr>
    </w:p>
    <w:p>
      <w:pPr>
        <w:pStyle w:val="Default"/>
        <w:spacing w:line="288" w:lineRule="auto"/>
        <w:rPr>
          <w:rFonts w:ascii="Helvetica Light" w:cs="Helvetica Light" w:hAnsi="Helvetica Light" w:eastAsia="Helvetica Light"/>
        </w:rPr>
      </w:pPr>
    </w:p>
    <w:p>
      <w:pPr>
        <w:pStyle w:val="Default"/>
        <w:spacing w:line="288" w:lineRule="auto"/>
        <w:rPr>
          <w:rFonts w:ascii="Helvetica Light" w:cs="Helvetica Light" w:hAnsi="Helvetica Light" w:eastAsia="Helvetica Light"/>
        </w:rPr>
      </w:pPr>
    </w:p>
    <w:p>
      <w:pPr>
        <w:pStyle w:val="Default"/>
        <w:spacing w:line="288" w:lineRule="auto"/>
        <w:rPr>
          <w:rFonts w:ascii="Helvetica Light" w:cs="Helvetica Light" w:hAnsi="Helvetica Light" w:eastAsia="Helvetica Light"/>
          <w:sz w:val="20"/>
          <w:szCs w:val="20"/>
        </w:rPr>
      </w:pPr>
      <w:r>
        <w:rPr>
          <w:b w:val="1"/>
          <w:bCs w:val="1"/>
          <w:sz w:val="24"/>
          <w:szCs w:val="24"/>
          <w:rtl w:val="0"/>
          <w:lang w:val="en-US"/>
        </w:rPr>
        <w:t>New England Regional News</w:t>
      </w:r>
      <w:r>
        <w:rPr>
          <w:b w:val="1"/>
          <w:bCs w:val="1"/>
          <w:sz w:val="24"/>
          <w:szCs w:val="24"/>
        </w:rPr>
        <w:br w:type="textWrapping"/>
      </w:r>
      <w:r>
        <w:rPr>
          <w:rtl w:val="0"/>
          <w:lang w:val="en-US"/>
        </w:rPr>
        <w:t>ISO-NE, the independent system operator responsible for the management of the New England power grid, announced the preliminary Peak Hour for summer 2018, impacting prices for Capacity Year 19/20 (starting June 1, 2019) is Wednesday, August 29th at HE (Hour Ending) 17 (from 4-5 pm).</w:t>
      </w:r>
      <w:r>
        <w:drawing>
          <wp:anchor distT="152400" distB="152400" distL="152400" distR="152400" simplePos="0" relativeHeight="251660288" behindDoc="0" locked="0" layoutInCell="1" allowOverlap="1">
            <wp:simplePos x="0" y="0"/>
            <wp:positionH relativeFrom="margin">
              <wp:posOffset>0</wp:posOffset>
            </wp:positionH>
            <wp:positionV relativeFrom="line">
              <wp:posOffset>220401</wp:posOffset>
            </wp:positionV>
            <wp:extent cx="3954153" cy="2845173"/>
            <wp:effectExtent l="0" t="0" r="0" b="0"/>
            <wp:wrapTopAndBottom distT="152400" distB="152400"/>
            <wp:docPr id="1073741830" name="officeArt object" descr="pasted-image.bmp"/>
            <wp:cNvGraphicFramePr/>
            <a:graphic xmlns:a="http://schemas.openxmlformats.org/drawingml/2006/main">
              <a:graphicData uri="http://schemas.openxmlformats.org/drawingml/2006/picture">
                <pic:pic xmlns:pic="http://schemas.openxmlformats.org/drawingml/2006/picture">
                  <pic:nvPicPr>
                    <pic:cNvPr id="1073741830" name="pasted-image.bmp" descr="pasted-image.bmp"/>
                    <pic:cNvPicPr>
                      <a:picLocks noChangeAspect="1"/>
                    </pic:cNvPicPr>
                  </pic:nvPicPr>
                  <pic:blipFill>
                    <a:blip r:embed="rId9">
                      <a:extLst/>
                    </a:blip>
                    <a:stretch>
                      <a:fillRect/>
                    </a:stretch>
                  </pic:blipFill>
                  <pic:spPr>
                    <a:xfrm>
                      <a:off x="0" y="0"/>
                      <a:ext cx="3954153" cy="2845173"/>
                    </a:xfrm>
                    <a:prstGeom prst="rect">
                      <a:avLst/>
                    </a:prstGeom>
                    <a:ln w="12700" cap="flat">
                      <a:solidFill>
                        <a:srgbClr val="000000"/>
                      </a:solidFill>
                      <a:prstDash val="solid"/>
                      <a:miter lim="400000"/>
                    </a:ln>
                    <a:effectLst/>
                  </pic:spPr>
                </pic:pic>
              </a:graphicData>
            </a:graphic>
          </wp:anchor>
        </w:drawing>
      </w:r>
      <w:r>
        <w:rPr>
          <w:rtl w:val="0"/>
          <w:lang w:val="en-US"/>
        </w:rPr>
        <w:t xml:space="preserve"> </w:t>
      </w:r>
    </w:p>
    <w:p>
      <w:pPr>
        <w:pStyle w:val="Default"/>
        <w:spacing w:line="288" w:lineRule="auto"/>
        <w:rPr>
          <w:rFonts w:ascii="Helvetica" w:cs="Helvetica" w:hAnsi="Helvetica" w:eastAsia="Helvetica"/>
          <w:sz w:val="24"/>
          <w:szCs w:val="24"/>
        </w:rPr>
      </w:pPr>
      <w:r>
        <w:rPr>
          <w:rFonts w:ascii="Helvetica Light" w:hAnsi="Helvetica Light"/>
          <w:sz w:val="20"/>
          <w:szCs w:val="20"/>
          <w:rtl w:val="0"/>
          <w:lang w:val="en-US"/>
        </w:rPr>
        <w:t>Source: ISO-NE</w:t>
      </w:r>
      <w:r>
        <w:rPr>
          <w:rFonts w:ascii="Helvetica" w:cs="Helvetica" w:hAnsi="Helvetica" w:eastAsia="Helvetica"/>
          <w:b w:val="1"/>
          <w:bCs w:val="1"/>
          <w:sz w:val="20"/>
          <w:szCs w:val="20"/>
        </w:rPr>
        <w:br w:type="textWrapping"/>
      </w:r>
    </w:p>
    <w:p>
      <w:pPr>
        <w:pStyle w:val="Default"/>
        <w:spacing w:line="288" w:lineRule="auto"/>
      </w:pPr>
      <w:r>
        <w:rPr>
          <w:b w:val="1"/>
          <w:bCs w:val="1"/>
          <w:color w:val="ff9300"/>
          <w:sz w:val="24"/>
          <w:szCs w:val="24"/>
          <w:u w:color="ff9300"/>
          <w:rtl w:val="0"/>
          <w:lang w:val="en-US"/>
        </w:rPr>
        <w:t>Contracting Tip of the Month: Negotiating Onsite Generation</w:t>
      </w:r>
      <w:r>
        <w:rPr>
          <w:b w:val="1"/>
          <w:bCs w:val="1"/>
          <w:color w:val="ff9300"/>
          <w:sz w:val="24"/>
          <w:szCs w:val="24"/>
          <w:u w:color="ff9300"/>
        </w:rPr>
        <w:drawing>
          <wp:anchor distT="152400" distB="152400" distL="152400" distR="152400" simplePos="0" relativeHeight="251659264" behindDoc="0" locked="0" layoutInCell="1" allowOverlap="1">
            <wp:simplePos x="0" y="0"/>
            <wp:positionH relativeFrom="margin">
              <wp:posOffset>2415687</wp:posOffset>
            </wp:positionH>
            <wp:positionV relativeFrom="line">
              <wp:posOffset>242438</wp:posOffset>
            </wp:positionV>
            <wp:extent cx="4109426" cy="2134767"/>
            <wp:effectExtent l="0" t="0" r="0" b="0"/>
            <wp:wrapThrough wrapText="bothSides" distL="152400" distR="152400">
              <wp:wrapPolygon edited="1">
                <wp:start x="0" y="0"/>
                <wp:lineTo x="21600" y="0"/>
                <wp:lineTo x="21600" y="21600"/>
                <wp:lineTo x="0" y="21600"/>
                <wp:lineTo x="0" y="0"/>
              </wp:wrapPolygon>
            </wp:wrapThrough>
            <wp:docPr id="1073741831" name="officeArt object" descr="Solar770.png"/>
            <wp:cNvGraphicFramePr/>
            <a:graphic xmlns:a="http://schemas.openxmlformats.org/drawingml/2006/main">
              <a:graphicData uri="http://schemas.openxmlformats.org/drawingml/2006/picture">
                <pic:pic xmlns:pic="http://schemas.openxmlformats.org/drawingml/2006/picture">
                  <pic:nvPicPr>
                    <pic:cNvPr id="1073741831" name="Solar770.png" descr="Solar770.png"/>
                    <pic:cNvPicPr>
                      <a:picLocks noChangeAspect="1"/>
                    </pic:cNvPicPr>
                  </pic:nvPicPr>
                  <pic:blipFill>
                    <a:blip r:embed="rId10">
                      <a:extLst/>
                    </a:blip>
                    <a:stretch>
                      <a:fillRect/>
                    </a:stretch>
                  </pic:blipFill>
                  <pic:spPr>
                    <a:xfrm>
                      <a:off x="0" y="0"/>
                      <a:ext cx="4109426" cy="2134767"/>
                    </a:xfrm>
                    <a:prstGeom prst="rect">
                      <a:avLst/>
                    </a:prstGeom>
                    <a:ln w="12700" cap="flat">
                      <a:noFill/>
                      <a:miter lim="400000"/>
                    </a:ln>
                    <a:effectLst/>
                  </pic:spPr>
                </pic:pic>
              </a:graphicData>
            </a:graphic>
          </wp:anchor>
        </w:drawing>
      </w:r>
    </w:p>
    <w:p>
      <w:pPr>
        <w:pStyle w:val="Default"/>
        <w:spacing w:line="288" w:lineRule="auto"/>
      </w:pPr>
      <w:r>
        <w:rPr>
          <w:rtl w:val="0"/>
          <w:lang w:val="en-US"/>
        </w:rPr>
        <w:t xml:space="preserve">Many energy buyers are unaware of the consequences of integrating solar or other onsite generation into their facility. </w:t>
      </w:r>
      <w:r>
        <w:rPr>
          <w:rtl w:val="0"/>
          <w:lang w:val="en-US"/>
        </w:rPr>
        <w:t>P</w:t>
      </w:r>
      <w:r>
        <w:rPr>
          <w:rtl w:val="0"/>
          <w:lang w:val="en-US"/>
        </w:rPr>
        <w:t xml:space="preserve">ower suppliers </w:t>
      </w:r>
      <w:r>
        <w:rPr>
          <w:rtl w:val="0"/>
          <w:lang w:val="en-US"/>
        </w:rPr>
        <w:t xml:space="preserve">can </w:t>
      </w:r>
      <w:r>
        <w:rPr>
          <w:rtl w:val="0"/>
          <w:lang w:val="en-US"/>
        </w:rPr>
        <w:t xml:space="preserve">levy penalties for reduced usage </w:t>
      </w:r>
      <w:r>
        <w:rPr>
          <w:rtl w:val="0"/>
          <w:lang w:val="en-US"/>
        </w:rPr>
        <w:t xml:space="preserve">during current agreements </w:t>
      </w:r>
      <w:r>
        <w:rPr>
          <w:rtl w:val="0"/>
          <w:lang w:val="en-US"/>
        </w:rPr>
        <w:t>and/or limit future product options (as in not offering fully fixed prices)</w:t>
      </w:r>
      <w:r>
        <w:rPr>
          <w:rtl w:val="0"/>
          <w:lang w:val="en-US"/>
        </w:rPr>
        <w:t xml:space="preserve"> if onsite generation is installed</w:t>
      </w:r>
      <w:r>
        <w:rPr>
          <w:rtl w:val="0"/>
          <w:lang w:val="en-US"/>
        </w:rPr>
        <w:t xml:space="preserve">. If you are considering installing solar or other co-gen, Kobiona can help you negotiate special provisions to prevent penalties and </w:t>
      </w:r>
      <w:r>
        <w:rPr>
          <w:rtl w:val="0"/>
          <w:lang w:val="en-US"/>
        </w:rPr>
        <w:t xml:space="preserve">undesirable </w:t>
      </w:r>
      <w:r>
        <w:rPr>
          <w:rtl w:val="0"/>
          <w:lang w:val="en-US"/>
        </w:rPr>
        <w:t>product restrictions.</w:t>
      </w:r>
    </w:p>
    <w:p>
      <w:pPr>
        <w:pStyle w:val="Default"/>
        <w:spacing w:line="288" w:lineRule="auto"/>
        <w:rPr>
          <w:sz w:val="24"/>
          <w:szCs w:val="24"/>
        </w:rPr>
      </w:pPr>
    </w:p>
    <w:p>
      <w:pPr>
        <w:pStyle w:val="Default"/>
        <w:spacing w:line="288" w:lineRule="auto"/>
        <w:rPr>
          <w:rStyle w:val="None"/>
          <w:rFonts w:ascii="Helvetica Light" w:cs="Helvetica Light" w:hAnsi="Helvetica Light" w:eastAsia="Helvetica Light"/>
        </w:rPr>
      </w:pPr>
      <w:r>
        <w:br w:type="textWrapping"/>
      </w:r>
      <w:r>
        <w:rPr>
          <w:b w:val="1"/>
          <w:bCs w:val="1"/>
          <w:sz w:val="24"/>
          <w:szCs w:val="24"/>
          <w:rtl w:val="0"/>
          <w:lang w:val="en-US"/>
        </w:rPr>
        <w:t xml:space="preserve">Questions?  </w:t>
      </w:r>
      <w:r>
        <w:br w:type="textWrapping"/>
      </w:r>
      <w:r>
        <w:rPr>
          <w:rtl w:val="0"/>
          <w:lang w:val="en-US"/>
        </w:rPr>
        <w:t xml:space="preserve">For those tasked with procuring power and gas for the first time </w:t>
      </w:r>
      <w:r>
        <w:rPr>
          <w:rtl w:val="0"/>
          <w:lang w:val="en-US"/>
        </w:rPr>
        <w:t xml:space="preserve">— </w:t>
      </w:r>
      <w:r>
        <w:rPr>
          <w:rtl w:val="0"/>
          <w:lang w:val="en-US"/>
        </w:rPr>
        <w:t xml:space="preserve">or the tenth time </w:t>
      </w:r>
      <w:r>
        <w:rPr>
          <w:rtl w:val="0"/>
          <w:lang w:val="en-US"/>
        </w:rPr>
        <w:t xml:space="preserve">— </w:t>
      </w:r>
      <w:r>
        <w:rPr>
          <w:rtl w:val="0"/>
          <w:lang w:val="en-US"/>
        </w:rPr>
        <w:t>the industry can seem overwhelming with densely-technical and sometimes conflicting information.</w:t>
      </w:r>
      <w:r>
        <w:br w:type="textWrapping"/>
        <w:br w:type="textWrapping"/>
      </w:r>
      <w:r>
        <w:rPr>
          <w:rtl w:val="0"/>
          <w:lang w:val="en-US"/>
        </w:rPr>
        <w:t xml:space="preserve">We welcome your questions on how to apply our observations, as well as your feedback on </w:t>
      </w:r>
      <w:r>
        <w:rPr>
          <w:b w:val="1"/>
          <w:bCs w:val="1"/>
          <w:i w:val="1"/>
          <w:iCs w:val="1"/>
          <w:rtl w:val="0"/>
          <w:lang w:val="en-US"/>
        </w:rPr>
        <w:t>The</w:t>
      </w:r>
      <w:r>
        <w:rPr>
          <w:rtl w:val="0"/>
          <w:lang w:val="en-US"/>
        </w:rPr>
        <w:t xml:space="preserve"> </w:t>
      </w:r>
      <w:r>
        <w:rPr>
          <w:b w:val="1"/>
          <w:bCs w:val="1"/>
          <w:i w:val="1"/>
          <w:iCs w:val="1"/>
          <w:rtl w:val="0"/>
          <w:lang w:val="en-US"/>
        </w:rPr>
        <w:t>Kobiona Monitor</w:t>
      </w:r>
      <w:r>
        <w:rPr>
          <w:rtl w:val="0"/>
          <w:lang w:val="en-US"/>
        </w:rPr>
        <w:t xml:space="preserve">. Please share how we can make this publication more useful by calling us on 844-209-7972, or contacting us via email, </w:t>
      </w:r>
      <w:r>
        <w:rPr>
          <w:rStyle w:val="Hyperlink.0"/>
        </w:rPr>
        <w:fldChar w:fldCharType="begin" w:fldLock="0"/>
      </w:r>
      <w:r>
        <w:rPr>
          <w:rStyle w:val="Hyperlink.0"/>
        </w:rPr>
        <w:instrText xml:space="preserve"> HYPERLINK "mailto:info@kobiona.com"</w:instrText>
      </w:r>
      <w:r>
        <w:rPr>
          <w:rStyle w:val="Hyperlink.0"/>
        </w:rPr>
        <w:fldChar w:fldCharType="separate" w:fldLock="0"/>
      </w:r>
      <w:r>
        <w:rPr>
          <w:rStyle w:val="Hyperlink.0"/>
          <w:rtl w:val="0"/>
          <w:lang w:val="en-US"/>
        </w:rPr>
        <w:t>info@kobiona.com</w:t>
      </w:r>
      <w:r>
        <w:rPr/>
        <w:fldChar w:fldCharType="end" w:fldLock="0"/>
      </w:r>
      <w:r>
        <w:rPr>
          <w:rtl w:val="0"/>
          <w:lang w:val="en-US"/>
        </w:rPr>
        <w:t xml:space="preserve">. </w:t>
      </w:r>
    </w:p>
    <w:p>
      <w:pPr>
        <w:pStyle w:val="Default"/>
        <w:rPr>
          <w:rStyle w:val="None"/>
          <w:rFonts w:ascii="Helvetica Light" w:cs="Helvetica Light" w:hAnsi="Helvetica Light" w:eastAsia="Helvetica Light"/>
        </w:rPr>
      </w:pPr>
    </w:p>
    <w:p>
      <w:pPr>
        <w:pStyle w:val="Default"/>
        <w:rPr>
          <w:rStyle w:val="None"/>
          <w:rFonts w:ascii="Helvetica Light" w:cs="Helvetica Light" w:hAnsi="Helvetica Light" w:eastAsia="Helvetica Light"/>
        </w:rPr>
      </w:pPr>
    </w:p>
    <w:p>
      <w:pPr>
        <w:pStyle w:val="Default"/>
        <w:rPr>
          <w:rStyle w:val="None"/>
          <w:rFonts w:ascii="Helvetica Light" w:cs="Helvetica Light" w:hAnsi="Helvetica Light" w:eastAsia="Helvetica Light"/>
        </w:rPr>
      </w:pPr>
    </w:p>
    <w:p>
      <w:pPr>
        <w:pStyle w:val="Default"/>
      </w:pPr>
      <w:r>
        <w:rPr>
          <w:rStyle w:val="None"/>
          <w:rFonts w:ascii="Helvetica Light" w:cs="Helvetica Light" w:hAnsi="Helvetica Light" w:eastAsia="Helvetica Light"/>
        </w:rPr>
        <w:drawing>
          <wp:anchor distT="152400" distB="152400" distL="152400" distR="152400" simplePos="0" relativeHeight="251666432" behindDoc="0" locked="0" layoutInCell="1" allowOverlap="1">
            <wp:simplePos x="0" y="0"/>
            <wp:positionH relativeFrom="margin">
              <wp:posOffset>1460500</wp:posOffset>
            </wp:positionH>
            <wp:positionV relativeFrom="line">
              <wp:posOffset>677913</wp:posOffset>
            </wp:positionV>
            <wp:extent cx="3009900" cy="2197100"/>
            <wp:effectExtent l="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Screen Shot 2018-11-04 at 8.24.55 PM.png"/>
                    <pic:cNvPicPr>
                      <a:picLocks noChangeAspect="1"/>
                    </pic:cNvPicPr>
                  </pic:nvPicPr>
                  <pic:blipFill>
                    <a:blip r:embed="rId11">
                      <a:extLst/>
                    </a:blip>
                    <a:stretch>
                      <a:fillRect/>
                    </a:stretch>
                  </pic:blipFill>
                  <pic:spPr>
                    <a:xfrm>
                      <a:off x="0" y="0"/>
                      <a:ext cx="3009900" cy="2197100"/>
                    </a:xfrm>
                    <a:prstGeom prst="rect">
                      <a:avLst/>
                    </a:prstGeom>
                    <a:ln w="12700" cap="flat">
                      <a:noFill/>
                      <a:miter lim="400000"/>
                    </a:ln>
                    <a:effectLst/>
                  </pic:spPr>
                </pic:pic>
              </a:graphicData>
            </a:graphic>
          </wp:anchor>
        </w:drawing>
      </w:r>
    </w:p>
    <w:sectPr>
      <w:headerReference w:type="default" r:id="rId12"/>
      <w:footerReference w:type="default" r:id="rId13"/>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DIN Alternate">
    <w:charset w:val="00"/>
    <w:family w:val="roman"/>
    <w:pitch w:val="default"/>
  </w:font>
  <w:font w:name="Helvetica Light">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character" w:styleId="None">
    <w:name w:val="None"/>
  </w:style>
  <w:style w:type="character" w:styleId="Hyperlink.0">
    <w:name w:val="Hyperlink.0"/>
    <w:basedOn w:val="None"/>
    <w:next w:val="Hyperlink.0"/>
    <w:rPr>
      <w:u w:val="single"/>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1.bmp"/><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